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6"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1CA0B283"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 xml:space="preserve">e technique </w:t>
      </w:r>
    </w:p>
    <w:p w14:paraId="2A6C92D9" w14:textId="77777777" w:rsidR="00385E64" w:rsidRPr="00233A89" w:rsidRDefault="00385E64" w:rsidP="00385E64">
      <w:pPr>
        <w:pStyle w:val="En-tte"/>
        <w:jc w:val="center"/>
        <w:rPr>
          <w:rFonts w:ascii="Calibri" w:eastAsia="Arial" w:hAnsi="Calibri" w:cs="Calibri"/>
          <w:b/>
          <w:bCs/>
          <w:sz w:val="36"/>
          <w:szCs w:val="36"/>
          <w:lang w:val="fr" w:eastAsia="fr-FR"/>
        </w:rPr>
      </w:pPr>
      <w:r w:rsidRPr="00233A89">
        <w:rPr>
          <w:rFonts w:ascii="Calibri" w:eastAsia="Arial" w:hAnsi="Calibri" w:cs="Calibri"/>
          <w:b/>
          <w:bCs/>
          <w:sz w:val="36"/>
          <w:szCs w:val="36"/>
          <w:lang w:val="fr" w:eastAsia="fr-FR"/>
        </w:rPr>
        <w:t>LOT n°1 :</w:t>
      </w:r>
    </w:p>
    <w:p w14:paraId="224A4D2D" w14:textId="77777777" w:rsidR="00385E64" w:rsidRPr="00233A89" w:rsidRDefault="00385E64" w:rsidP="00385E64">
      <w:pPr>
        <w:pStyle w:val="En-tte"/>
        <w:jc w:val="center"/>
        <w:rPr>
          <w:rFonts w:ascii="Calibri" w:eastAsia="Arial" w:hAnsi="Calibri" w:cs="Calibri"/>
          <w:b/>
          <w:bCs/>
          <w:sz w:val="36"/>
          <w:szCs w:val="36"/>
          <w:lang w:val="fr" w:eastAsia="fr-FR"/>
        </w:rPr>
      </w:pPr>
      <w:r w:rsidRPr="00233A89">
        <w:rPr>
          <w:rFonts w:ascii="Calibri" w:eastAsia="Arial" w:hAnsi="Calibri" w:cs="Calibri"/>
          <w:b/>
          <w:bCs/>
          <w:sz w:val="36"/>
          <w:szCs w:val="36"/>
          <w:lang w:eastAsia="fr-FR"/>
        </w:rPr>
        <w:t>Assistance technique et expertise informatique dans la gestion des systèmes d’information du CNM</w:t>
      </w: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6"/>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7"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7"/>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41A4576A" w:rsidR="000E490B" w:rsidRPr="00385E64" w:rsidRDefault="00843789" w:rsidP="00385E64">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8" w:name="_Hlk221871841"/>
            <w:r w:rsidRPr="55C6EF82">
              <w:rPr>
                <w:b/>
                <w:bCs/>
                <w:sz w:val="20"/>
                <w:szCs w:val="20"/>
              </w:rPr>
              <w:t>Prix noté au regard du montant total du DQE</w:t>
            </w:r>
            <w:bookmarkEnd w:id="8"/>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9"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9"/>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10"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10"/>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11" w:name="_Toc220426354"/>
      <w:r w:rsidRPr="00F20DFC">
        <w:rPr>
          <w:rFonts w:asciiTheme="minorHAnsi" w:eastAsia="Times New Roman" w:hAnsiTheme="minorHAnsi" w:cs="Arial"/>
          <w:b/>
          <w:color w:val="683766"/>
          <w:kern w:val="0"/>
          <w:sz w:val="24"/>
          <w:szCs w:val="24"/>
          <w:lang w:eastAsia="fr-FR"/>
          <w14:ligatures w14:val="none"/>
        </w:rPr>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11"/>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12" w:name="_Toc220426355"/>
      <w:r w:rsidRPr="00F20DFC">
        <w:rPr>
          <w:rFonts w:asciiTheme="minorHAnsi" w:eastAsia="Times New Roman" w:hAnsiTheme="minorHAnsi" w:cs="Arial"/>
          <w:b/>
          <w:color w:val="683766"/>
          <w:kern w:val="0"/>
          <w:sz w:val="24"/>
          <w:szCs w:val="24"/>
          <w:lang w:eastAsia="fr-FR"/>
          <w14:ligatures w14:val="none"/>
        </w:rPr>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12"/>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3" w:name="_Toc220426356"/>
      <w:r>
        <w:rPr>
          <w:rFonts w:asciiTheme="minorHAnsi" w:eastAsia="Times New Roman" w:hAnsiTheme="minorHAnsi" w:cs="Times New Roman"/>
          <w:b/>
          <w:bCs/>
          <w:smallCaps/>
          <w:color w:val="FFFFFF" w:themeColor="background1"/>
          <w:kern w:val="0"/>
          <w:sz w:val="30"/>
          <w:szCs w:val="30"/>
          <w:lang w:eastAsia="fr-FR"/>
          <w14:ligatures w14:val="none"/>
        </w:rPr>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3"/>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4" w:name="_Toc220426357"/>
      <w:r>
        <w:rPr>
          <w:rFonts w:asciiTheme="minorHAnsi" w:eastAsia="Times New Roman" w:hAnsiTheme="minorHAnsi" w:cs="Times New Roman"/>
          <w:b/>
          <w:bCs/>
          <w:smallCaps/>
          <w:color w:val="FFFFFF" w:themeColor="background1"/>
          <w:kern w:val="0"/>
          <w:sz w:val="30"/>
          <w:szCs w:val="30"/>
          <w:lang w:eastAsia="fr-FR"/>
          <w14:ligatures w14:val="none"/>
        </w:rPr>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4"/>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0E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5E64"/>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3.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customXml/itemProps4.xml><?xml version="1.0" encoding="utf-8"?>
<ds:datastoreItem xmlns:ds="http://schemas.openxmlformats.org/officeDocument/2006/customXml" ds:itemID="{AEB45153-DCDF-4662-A623-859C9CF0FF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921</Words>
  <Characters>5071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2</cp:revision>
  <dcterms:created xsi:type="dcterms:W3CDTF">2026-02-17T16:59:00Z</dcterms:created>
  <dcterms:modified xsi:type="dcterms:W3CDTF">2026-02-17T16:59:00Z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